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98689" w14:textId="774DC0F7" w:rsidR="00F7613E" w:rsidRPr="00770FBA" w:rsidRDefault="00714699">
      <w:pPr>
        <w:spacing w:before="480" w:after="80"/>
        <w:ind w:firstLine="0"/>
        <w:jc w:val="center"/>
        <w:rPr>
          <w:lang w:val="it-IT"/>
        </w:rPr>
      </w:pPr>
      <w:r w:rsidRPr="00770FBA">
        <w:rPr>
          <w:smallCaps/>
          <w:sz w:val="24"/>
          <w:lang w:val="it-IT"/>
        </w:rPr>
        <w:t>Rosa Muscio</w:t>
      </w:r>
    </w:p>
    <w:p w14:paraId="2F0B0C03" w14:textId="77777777" w:rsidR="00F7613E" w:rsidRPr="00714699" w:rsidRDefault="00000000">
      <w:pPr>
        <w:spacing w:after="200"/>
        <w:ind w:firstLine="0"/>
        <w:jc w:val="center"/>
        <w:rPr>
          <w:lang w:val="it-IT"/>
        </w:rPr>
      </w:pPr>
      <w:r w:rsidRPr="00714699">
        <w:rPr>
          <w:b/>
          <w:lang w:val="it-IT"/>
        </w:rPr>
        <w:t>IL PROCESSO CIVILE TELEMATICO AL TRIBUNALE PER I MINORENNI: STATO DELL'ARTE E PROSPETTIVE</w:t>
      </w:r>
    </w:p>
    <w:p w14:paraId="55D8AB8D" w14:textId="77777777" w:rsidR="00F7613E" w:rsidRPr="00714699" w:rsidRDefault="00000000">
      <w:pPr>
        <w:spacing w:after="200"/>
        <w:ind w:left="454" w:firstLine="0"/>
        <w:rPr>
          <w:lang w:val="it-IT"/>
        </w:rPr>
      </w:pPr>
      <w:r w:rsidRPr="00714699">
        <w:rPr>
          <w:smallCaps/>
          <w:sz w:val="18"/>
          <w:lang w:val="it-IT"/>
        </w:rPr>
        <w:t xml:space="preserve">Sommario: </w:t>
      </w:r>
      <w:r w:rsidRPr="00714699">
        <w:rPr>
          <w:sz w:val="18"/>
          <w:lang w:val="it-IT"/>
        </w:rPr>
        <w:t>1. Avvio del PCT al Tribunale per i Minorenni. – 2. Il tavolo tecnico ministeriale e le criticità affrontate. – 3. Esigenze peculiari del rito minorile ancora in fase di implementazione. – 4. Formazione e prospettive di sviluppo.</w:t>
      </w:r>
    </w:p>
    <w:p w14:paraId="743A1F9A" w14:textId="77777777" w:rsidR="00F7613E" w:rsidRPr="00714699" w:rsidRDefault="00000000">
      <w:pPr>
        <w:spacing w:before="280"/>
        <w:ind w:firstLine="0"/>
        <w:rPr>
          <w:lang w:val="it-IT"/>
        </w:rPr>
      </w:pPr>
      <w:r w:rsidRPr="00714699">
        <w:rPr>
          <w:b/>
          <w:lang w:val="it-IT"/>
        </w:rPr>
        <w:t>1. Avvio del PCT al Tribunale per i Minorenni</w:t>
      </w:r>
    </w:p>
    <w:p w14:paraId="74DB5FE9" w14:textId="61A1D0BF" w:rsidR="00F7613E" w:rsidRPr="00714699" w:rsidRDefault="00000000">
      <w:pPr>
        <w:spacing w:after="60"/>
        <w:rPr>
          <w:lang w:val="it-IT"/>
        </w:rPr>
      </w:pPr>
      <w:r w:rsidRPr="00714699">
        <w:rPr>
          <w:lang w:val="it-IT"/>
        </w:rPr>
        <w:t>Il processo civile telematico presso il Tribunale per i Minorenni ha preso avvio il 1° luglio 2023, con notevole ritardo rispetto al tribunale ordinario e in assenza di quel doppio canale di transizione di cui quest'ultimo aveva potuto beneficiare. Il passaggio da una gestione interamente cartacea a una interamente telematica è avvenuto in tempi molto rapidi, con significative difficoltà operative per magistrati, personale amministrativo. La piattaforma adottata è quella del processo civile telematico ordinario, sostanzialmente mutuata senza adeguamenti preventivi alle specificità del rito minorile, il che ha reso necessario un intervento correttivo immediato e continuativo.</w:t>
      </w:r>
    </w:p>
    <w:p w14:paraId="1EFB6F59" w14:textId="77777777" w:rsidR="00F7613E" w:rsidRPr="00714699" w:rsidRDefault="00000000">
      <w:pPr>
        <w:spacing w:before="280"/>
        <w:ind w:firstLine="0"/>
        <w:rPr>
          <w:lang w:val="it-IT"/>
        </w:rPr>
      </w:pPr>
      <w:r w:rsidRPr="00714699">
        <w:rPr>
          <w:b/>
          <w:lang w:val="it-IT"/>
        </w:rPr>
        <w:t>2. Il tavolo tecnico ministeriale e le criticità affrontate</w:t>
      </w:r>
    </w:p>
    <w:p w14:paraId="403C022D" w14:textId="77777777" w:rsidR="00360011" w:rsidRDefault="00000000">
      <w:pPr>
        <w:spacing w:after="60"/>
        <w:rPr>
          <w:lang w:val="it-IT"/>
        </w:rPr>
      </w:pPr>
      <w:r w:rsidRPr="00714699">
        <w:rPr>
          <w:lang w:val="it-IT"/>
        </w:rPr>
        <w:t xml:space="preserve">Nel biennio 2023-2024 è stato istituito presso il Ministero un tavolo tecnico con cadenza pressoché settimanale, al quale hanno partecipato </w:t>
      </w:r>
      <w:r w:rsidR="00360011">
        <w:rPr>
          <w:lang w:val="it-IT"/>
        </w:rPr>
        <w:t>rappresentanti delle</w:t>
      </w:r>
      <w:r w:rsidRPr="00714699">
        <w:rPr>
          <w:lang w:val="it-IT"/>
        </w:rPr>
        <w:t xml:space="preserve"> Procur</w:t>
      </w:r>
      <w:r w:rsidR="00360011">
        <w:rPr>
          <w:lang w:val="it-IT"/>
        </w:rPr>
        <w:t>e</w:t>
      </w:r>
      <w:r w:rsidRPr="00714699">
        <w:rPr>
          <w:lang w:val="it-IT"/>
        </w:rPr>
        <w:t xml:space="preserve"> e </w:t>
      </w:r>
      <w:r w:rsidR="00360011">
        <w:rPr>
          <w:lang w:val="it-IT"/>
        </w:rPr>
        <w:t>dei</w:t>
      </w:r>
      <w:r w:rsidRPr="00714699">
        <w:rPr>
          <w:lang w:val="it-IT"/>
        </w:rPr>
        <w:t xml:space="preserve"> Tribunal</w:t>
      </w:r>
      <w:r w:rsidR="00360011">
        <w:rPr>
          <w:lang w:val="it-IT"/>
        </w:rPr>
        <w:t>i</w:t>
      </w:r>
      <w:r w:rsidRPr="00714699">
        <w:rPr>
          <w:lang w:val="it-IT"/>
        </w:rPr>
        <w:t xml:space="preserve"> per i Minorenni, con l'obiettivo di individuare le criticità e definire le soluzioni. Tale attività ha consentito di apportare correttivi significativi alla piattaforma</w:t>
      </w:r>
      <w:r w:rsidR="00360011">
        <w:rPr>
          <w:lang w:val="it-IT"/>
        </w:rPr>
        <w:t>.</w:t>
      </w:r>
      <w:r w:rsidRPr="00714699">
        <w:rPr>
          <w:lang w:val="it-IT"/>
        </w:rPr>
        <w:t xml:space="preserve"> </w:t>
      </w:r>
      <w:r w:rsidR="00360011">
        <w:rPr>
          <w:lang w:val="it-IT"/>
        </w:rPr>
        <w:t>L’</w:t>
      </w:r>
      <w:r w:rsidRPr="00714699">
        <w:rPr>
          <w:lang w:val="it-IT"/>
        </w:rPr>
        <w:t xml:space="preserve">attività formativa </w:t>
      </w:r>
      <w:r w:rsidR="00360011">
        <w:rPr>
          <w:lang w:val="it-IT"/>
        </w:rPr>
        <w:t xml:space="preserve">invece è stata </w:t>
      </w:r>
      <w:r w:rsidRPr="00714699">
        <w:rPr>
          <w:lang w:val="it-IT"/>
        </w:rPr>
        <w:t xml:space="preserve">svolta </w:t>
      </w:r>
      <w:r w:rsidR="00360011">
        <w:rPr>
          <w:lang w:val="it-IT"/>
        </w:rPr>
        <w:t xml:space="preserve">inizialmente </w:t>
      </w:r>
      <w:r w:rsidRPr="00714699">
        <w:rPr>
          <w:lang w:val="it-IT"/>
        </w:rPr>
        <w:t xml:space="preserve">anche con la collaborazione degli Ordini degli Avvocati. </w:t>
      </w:r>
    </w:p>
    <w:p w14:paraId="2EEB6CFE" w14:textId="493BE019" w:rsidR="00F7613E" w:rsidRPr="00714699" w:rsidRDefault="00000000">
      <w:pPr>
        <w:spacing w:after="60"/>
        <w:rPr>
          <w:lang w:val="it-IT"/>
        </w:rPr>
      </w:pPr>
      <w:r w:rsidRPr="00714699">
        <w:rPr>
          <w:lang w:val="it-IT"/>
        </w:rPr>
        <w:t>Con l'arrivo d</w:t>
      </w:r>
      <w:r w:rsidR="00360011">
        <w:rPr>
          <w:lang w:val="it-IT"/>
        </w:rPr>
        <w:t>ella dott.ssa</w:t>
      </w:r>
      <w:r w:rsidRPr="00714699">
        <w:rPr>
          <w:lang w:val="it-IT"/>
        </w:rPr>
        <w:t xml:space="preserve"> Antonella Ciriello alla DIT è stato istituito un tavolo tecnico permanente che, a partire da maggio 2025, ha dato vita a sottogruppi di lavoro finalizzati a rappresentare in modo sistematico le peculiarità e le esigenze </w:t>
      </w:r>
      <w:r w:rsidR="00360011">
        <w:rPr>
          <w:lang w:val="it-IT"/>
        </w:rPr>
        <w:t xml:space="preserve">anche </w:t>
      </w:r>
      <w:r w:rsidRPr="00714699">
        <w:rPr>
          <w:lang w:val="it-IT"/>
        </w:rPr>
        <w:t>del rito minorile, in stretto raccordo con i referenti ministeriali. Un elenco dettagliato delle criticità residue e delle innovazioni richieste è attualmente in fase di valutazione e lavorazione, con il coinvolgimento anche del CSM per la definizione delle priorità.</w:t>
      </w:r>
    </w:p>
    <w:p w14:paraId="18C126F0" w14:textId="77777777" w:rsidR="00F7613E" w:rsidRPr="00714699" w:rsidRDefault="00000000">
      <w:pPr>
        <w:spacing w:before="280"/>
        <w:ind w:firstLine="0"/>
        <w:rPr>
          <w:lang w:val="it-IT"/>
        </w:rPr>
      </w:pPr>
      <w:r w:rsidRPr="00714699">
        <w:rPr>
          <w:b/>
          <w:lang w:val="it-IT"/>
        </w:rPr>
        <w:t>3. Esigenze peculiari del rito minorile ancora in fase di implementazione</w:t>
      </w:r>
    </w:p>
    <w:p w14:paraId="44FF96C9" w14:textId="43E1C184" w:rsidR="00F7613E" w:rsidRPr="00714699" w:rsidRDefault="00000000">
      <w:pPr>
        <w:spacing w:after="60"/>
        <w:rPr>
          <w:lang w:val="it-IT"/>
        </w:rPr>
      </w:pPr>
      <w:r w:rsidRPr="00714699">
        <w:rPr>
          <w:lang w:val="it-IT"/>
        </w:rPr>
        <w:t xml:space="preserve">Tra le richieste ancora in fase di studio e implementazione figurano, in primo luogo, la necessità di prevedere finestre applicative che consentano la </w:t>
      </w:r>
      <w:r w:rsidR="00360011">
        <w:rPr>
          <w:lang w:val="it-IT"/>
        </w:rPr>
        <w:t xml:space="preserve">temporanea </w:t>
      </w:r>
      <w:r w:rsidRPr="00714699">
        <w:rPr>
          <w:lang w:val="it-IT"/>
        </w:rPr>
        <w:t xml:space="preserve">segretazione dei </w:t>
      </w:r>
      <w:r w:rsidR="00360011">
        <w:rPr>
          <w:lang w:val="it-IT"/>
        </w:rPr>
        <w:t xml:space="preserve">provvedimenti urgenti ed emessi </w:t>
      </w:r>
      <w:r w:rsidR="00360011" w:rsidRPr="00360011">
        <w:rPr>
          <w:i/>
          <w:iCs/>
          <w:lang w:val="it-IT"/>
        </w:rPr>
        <w:t>inaudita altera parte</w:t>
      </w:r>
      <w:r w:rsidR="00360011">
        <w:rPr>
          <w:lang w:val="it-IT"/>
        </w:rPr>
        <w:t xml:space="preserve"> </w:t>
      </w:r>
      <w:r w:rsidRPr="00714699">
        <w:rPr>
          <w:lang w:val="it-IT"/>
        </w:rPr>
        <w:t>a tutela del minore</w:t>
      </w:r>
      <w:r w:rsidR="00360011">
        <w:rPr>
          <w:lang w:val="it-IT"/>
        </w:rPr>
        <w:t xml:space="preserve"> in attesa della loro esecuzione</w:t>
      </w:r>
      <w:r w:rsidRPr="00714699">
        <w:rPr>
          <w:lang w:val="it-IT"/>
        </w:rPr>
        <w:t xml:space="preserve">, con </w:t>
      </w:r>
      <w:r w:rsidR="00360011">
        <w:rPr>
          <w:lang w:val="it-IT"/>
        </w:rPr>
        <w:t xml:space="preserve">successiva </w:t>
      </w:r>
      <w:r w:rsidRPr="00714699">
        <w:rPr>
          <w:lang w:val="it-IT"/>
        </w:rPr>
        <w:t xml:space="preserve">conoscibilità da parte delle parti costituite. È stata inoltre rappresentata l'esigenza di adeguare il sistema agli eventi </w:t>
      </w:r>
      <w:r w:rsidRPr="00714699">
        <w:rPr>
          <w:lang w:val="it-IT"/>
        </w:rPr>
        <w:lastRenderedPageBreak/>
        <w:t xml:space="preserve">procedurali tipici del rito minorile — oggi unificato con il rito della famiglia — quali la discussione orale della causa </w:t>
      </w:r>
      <w:r w:rsidR="00360011">
        <w:rPr>
          <w:lang w:val="it-IT"/>
        </w:rPr>
        <w:t xml:space="preserve">ex art. 473 bis.22 comma 4 c.p.c. </w:t>
      </w:r>
      <w:r w:rsidRPr="00714699">
        <w:rPr>
          <w:lang w:val="it-IT"/>
        </w:rPr>
        <w:t>e la rimessione in decisione</w:t>
      </w:r>
      <w:r w:rsidR="00360011">
        <w:rPr>
          <w:lang w:val="it-IT"/>
        </w:rPr>
        <w:t xml:space="preserve"> della causa ex art. 473 bis.28 c.p.c.</w:t>
      </w:r>
      <w:r w:rsidRPr="00714699">
        <w:rPr>
          <w:lang w:val="it-IT"/>
        </w:rPr>
        <w:t xml:space="preserve">, eventi attualmente non previsti </w:t>
      </w:r>
      <w:r w:rsidR="002550D6">
        <w:rPr>
          <w:lang w:val="it-IT"/>
        </w:rPr>
        <w:t>e non funzionanti in</w:t>
      </w:r>
      <w:r w:rsidRPr="00714699">
        <w:rPr>
          <w:lang w:val="it-IT"/>
        </w:rPr>
        <w:t xml:space="preserve"> </w:t>
      </w:r>
      <w:proofErr w:type="spellStart"/>
      <w:r w:rsidRPr="00714699">
        <w:rPr>
          <w:lang w:val="it-IT"/>
        </w:rPr>
        <w:t>Sicid</w:t>
      </w:r>
      <w:proofErr w:type="spellEnd"/>
      <w:r w:rsidRPr="00714699">
        <w:rPr>
          <w:lang w:val="it-IT"/>
        </w:rPr>
        <w:t xml:space="preserve"> Minorenni.</w:t>
      </w:r>
    </w:p>
    <w:p w14:paraId="1C486F71" w14:textId="50ABF24F" w:rsidR="00F7613E" w:rsidRPr="00714699" w:rsidRDefault="00000000">
      <w:pPr>
        <w:spacing w:after="60"/>
        <w:rPr>
          <w:lang w:val="it-IT"/>
        </w:rPr>
      </w:pPr>
      <w:r w:rsidRPr="00714699">
        <w:rPr>
          <w:lang w:val="it-IT"/>
        </w:rPr>
        <w:t xml:space="preserve">Ulteriori richieste riguardano la possibilità di co-assegnazione del fascicolo ai </w:t>
      </w:r>
      <w:r w:rsidR="002550D6">
        <w:rPr>
          <w:lang w:val="it-IT"/>
        </w:rPr>
        <w:t>G</w:t>
      </w:r>
      <w:r w:rsidRPr="00714699">
        <w:rPr>
          <w:lang w:val="it-IT"/>
        </w:rPr>
        <w:t xml:space="preserve">iudici onorari esperti presenti al Tribunale per i Minorenni, ai quali viene delegata l'attività istruttoria e che partecipano alle camere di consiglio. È in fase di studio </w:t>
      </w:r>
      <w:r w:rsidR="002550D6">
        <w:rPr>
          <w:lang w:val="it-IT"/>
        </w:rPr>
        <w:t xml:space="preserve">un miglior </w:t>
      </w:r>
      <w:r w:rsidRPr="00714699">
        <w:rPr>
          <w:lang w:val="it-IT"/>
        </w:rPr>
        <w:t>dialogo telematico tra il Tribunale per i Minorenni e la Procura per i Minorenni</w:t>
      </w:r>
      <w:r w:rsidR="002550D6">
        <w:rPr>
          <w:lang w:val="it-IT"/>
        </w:rPr>
        <w:t xml:space="preserve"> con particolare riguardo </w:t>
      </w:r>
      <w:r w:rsidRPr="00714699">
        <w:rPr>
          <w:lang w:val="it-IT"/>
        </w:rPr>
        <w:t xml:space="preserve">alle notifiche degli atti introduttivi, atteso che la quasi totalità dei ricorsi è promossa dal Pubblico Ministero minorile. Infine, è stata avanzata la richiesta di una trasmissione telematica </w:t>
      </w:r>
      <w:r w:rsidR="002550D6">
        <w:rPr>
          <w:lang w:val="it-IT"/>
        </w:rPr>
        <w:t xml:space="preserve">diretta </w:t>
      </w:r>
      <w:r w:rsidRPr="00714699">
        <w:rPr>
          <w:lang w:val="it-IT"/>
        </w:rPr>
        <w:t>degli atti tra il Tribunale per i Minorenni e il Tribunale ordinario</w:t>
      </w:r>
      <w:r w:rsidR="002550D6">
        <w:rPr>
          <w:lang w:val="it-IT"/>
        </w:rPr>
        <w:t xml:space="preserve"> e altri Uffici giudiziari (Corte di Cassazione, Corte di Appello, Procure ordinarie)</w:t>
      </w:r>
      <w:r w:rsidRPr="00714699">
        <w:rPr>
          <w:lang w:val="it-IT"/>
        </w:rPr>
        <w:t>, poiché allo stato attuale il trasferimento de</w:t>
      </w:r>
      <w:r w:rsidR="002550D6">
        <w:rPr>
          <w:lang w:val="it-IT"/>
        </w:rPr>
        <w:t>gli atti e de</w:t>
      </w:r>
      <w:r w:rsidRPr="00714699">
        <w:rPr>
          <w:lang w:val="it-IT"/>
        </w:rPr>
        <w:t>i fascicoli avviene ancora in forma cartacea o tramite supporti USB, in assenza di dialogo diretto tra i due sistemi.</w:t>
      </w:r>
    </w:p>
    <w:p w14:paraId="21E81466" w14:textId="77777777" w:rsidR="00F7613E" w:rsidRPr="00714699" w:rsidRDefault="00000000">
      <w:pPr>
        <w:spacing w:before="280"/>
        <w:ind w:firstLine="0"/>
        <w:rPr>
          <w:lang w:val="it-IT"/>
        </w:rPr>
      </w:pPr>
      <w:r w:rsidRPr="00714699">
        <w:rPr>
          <w:b/>
          <w:lang w:val="it-IT"/>
        </w:rPr>
        <w:t>4. Formazione e prospettive di sviluppo</w:t>
      </w:r>
    </w:p>
    <w:p w14:paraId="5F63586E" w14:textId="2C541D25" w:rsidR="00F7613E" w:rsidRPr="00714699" w:rsidRDefault="00000000">
      <w:pPr>
        <w:spacing w:after="60"/>
        <w:rPr>
          <w:lang w:val="it-IT"/>
        </w:rPr>
      </w:pPr>
      <w:r w:rsidRPr="00714699">
        <w:rPr>
          <w:lang w:val="it-IT"/>
        </w:rPr>
        <w:t xml:space="preserve">Accanto al lavoro di adeguamento tecnico, si segnala l'esigenza di rafforzare la formazione dei magistrati e del personale di cancelleria, sia sotto il profilo operativo sia sotto quello giuridico, anche per sostenere i colleghi meno </w:t>
      </w:r>
      <w:r w:rsidR="002550D6">
        <w:rPr>
          <w:lang w:val="it-IT"/>
        </w:rPr>
        <w:t>avvezzi al processo civile telematico e a</w:t>
      </w:r>
      <w:r w:rsidRPr="00714699">
        <w:rPr>
          <w:lang w:val="it-IT"/>
        </w:rPr>
        <w:t xml:space="preserve">gli strumenti informatici. Il ritardo con cui il Tribunale per i Minorenni ha avviato il PCT non ha ancora consentito di percepire pienamente le potenzialità della Console del Magistrato </w:t>
      </w:r>
      <w:r w:rsidR="002550D6">
        <w:rPr>
          <w:lang w:val="it-IT"/>
        </w:rPr>
        <w:t xml:space="preserve">anche </w:t>
      </w:r>
      <w:r w:rsidRPr="00714699">
        <w:rPr>
          <w:lang w:val="it-IT"/>
        </w:rPr>
        <w:t>come strumento di gestione del ruolo, in particolare rispetto ai carichi di lavoro e alle emergenze quotidiane. L'ipotesi di una nuova piattaforma per il Tribunale Unico della Famiglia, inizialmente prospettata, appare oggi accantonata, a</w:t>
      </w:r>
      <w:r w:rsidR="002550D6">
        <w:rPr>
          <w:lang w:val="it-IT"/>
        </w:rPr>
        <w:t>ttesa l’ulteriore proroga dell’</w:t>
      </w:r>
      <w:r w:rsidRPr="00714699">
        <w:rPr>
          <w:lang w:val="it-IT"/>
        </w:rPr>
        <w:t>entrata in vigore della riforma</w:t>
      </w:r>
      <w:r w:rsidR="002550D6">
        <w:rPr>
          <w:lang w:val="it-IT"/>
        </w:rPr>
        <w:t xml:space="preserve"> ordinamentale</w:t>
      </w:r>
      <w:r w:rsidRPr="00714699">
        <w:rPr>
          <w:lang w:val="it-IT"/>
        </w:rPr>
        <w:t>. Il metodo di lavoro fondato sulla sinergia tra magistrati requirenti e giudicanti, cancellieri esperti e referenti ministeriali, nell'ambito del tavolo tecnico permanente, è ritenuto lo strumento più idoneo per proseguire nel percorso di rafforzamento e implementazione del processo civile telematico al Tribunale per i Minorenni.</w:t>
      </w:r>
    </w:p>
    <w:sectPr w:rsidR="00F7613E" w:rsidRPr="00714699" w:rsidSect="00034616">
      <w:headerReference w:type="default" r:id="rId8"/>
      <w:footerReference w:type="default" r:id="rId9"/>
      <w:pgSz w:w="9638" w:h="13606"/>
      <w:pgMar w:top="1417" w:right="1247" w:bottom="1417" w:left="1247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06DAE" w14:textId="77777777" w:rsidR="00EA1D8B" w:rsidRDefault="00EA1D8B">
      <w:pPr>
        <w:spacing w:after="0"/>
      </w:pPr>
      <w:r>
        <w:separator/>
      </w:r>
    </w:p>
  </w:endnote>
  <w:endnote w:type="continuationSeparator" w:id="0">
    <w:p w14:paraId="4BB9F2F8" w14:textId="77777777" w:rsidR="00EA1D8B" w:rsidRDefault="00EA1D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1CB4" w14:textId="77777777" w:rsidR="00F7613E" w:rsidRDefault="00000000">
    <w:pPr>
      <w:pStyle w:val="Pidipagina"/>
      <w:jc w:val="center"/>
    </w:pPr>
    <w:r>
      <w:fldChar w:fldCharType="begin"/>
    </w:r>
    <w:r>
      <w:instrText>PAGE</w:instrText>
    </w:r>
    <w:r>
      <w:fldChar w:fldCharType="separate"/>
    </w:r>
    <w:r w:rsidR="0071469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91EEB" w14:textId="77777777" w:rsidR="00EA1D8B" w:rsidRDefault="00EA1D8B">
      <w:pPr>
        <w:spacing w:after="0"/>
      </w:pPr>
      <w:r>
        <w:separator/>
      </w:r>
    </w:p>
  </w:footnote>
  <w:footnote w:type="continuationSeparator" w:id="0">
    <w:p w14:paraId="107D1731" w14:textId="77777777" w:rsidR="00EA1D8B" w:rsidRDefault="00EA1D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C9B36" w14:textId="3DFE150E" w:rsidR="00F7613E" w:rsidRDefault="00770FBA" w:rsidP="00770FBA">
    <w:pPr>
      <w:pStyle w:val="Intestazione"/>
      <w:numPr>
        <w:ilvl w:val="0"/>
        <w:numId w:val="10"/>
      </w:numPr>
      <w:jc w:val="center"/>
    </w:pPr>
    <w:proofErr w:type="spellStart"/>
    <w:r>
      <w:rPr>
        <w:i/>
        <w:sz w:val="18"/>
      </w:rPr>
      <w:t>Digitalizzazione</w:t>
    </w:r>
    <w:proofErr w:type="spellEnd"/>
    <w:r w:rsidR="00000000">
      <w:rPr>
        <w:i/>
        <w:sz w:val="18"/>
      </w:rPr>
      <w:t xml:space="preserve"> </w:t>
    </w:r>
    <w:proofErr w:type="gramStart"/>
    <w:r>
      <w:rPr>
        <w:i/>
        <w:sz w:val="18"/>
      </w:rPr>
      <w:t>Capri</w:t>
    </w:r>
    <w:r w:rsidR="00000000">
      <w:rPr>
        <w:i/>
        <w:sz w:val="18"/>
      </w:rPr>
      <w:t xml:space="preserve">  2026</w:t>
    </w:r>
    <w:proofErr w:type="gramEnd"/>
    <w:r w:rsidR="00000000">
      <w:rPr>
        <w:i/>
        <w:sz w:val="18"/>
      </w:rP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0C0474F"/>
    <w:multiLevelType w:val="hybridMultilevel"/>
    <w:tmpl w:val="05CA54C4"/>
    <w:lvl w:ilvl="0" w:tplc="55A8A85A">
      <w:numFmt w:val="bullet"/>
      <w:lvlText w:val="–"/>
      <w:lvlJc w:val="left"/>
      <w:pPr>
        <w:ind w:left="757" w:hanging="360"/>
      </w:pPr>
      <w:rPr>
        <w:rFonts w:ascii="Garamond" w:eastAsiaTheme="minorEastAsia" w:hAnsi="Garamond" w:cstheme="minorBidi" w:hint="default"/>
        <w:i/>
        <w:sz w:val="18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2066099129">
    <w:abstractNumId w:val="8"/>
  </w:num>
  <w:num w:numId="2" w16cid:durableId="1821194052">
    <w:abstractNumId w:val="6"/>
  </w:num>
  <w:num w:numId="3" w16cid:durableId="1563523903">
    <w:abstractNumId w:val="5"/>
  </w:num>
  <w:num w:numId="4" w16cid:durableId="1506944310">
    <w:abstractNumId w:val="4"/>
  </w:num>
  <w:num w:numId="5" w16cid:durableId="901252775">
    <w:abstractNumId w:val="7"/>
  </w:num>
  <w:num w:numId="6" w16cid:durableId="544148140">
    <w:abstractNumId w:val="3"/>
  </w:num>
  <w:num w:numId="7" w16cid:durableId="1669939208">
    <w:abstractNumId w:val="2"/>
  </w:num>
  <w:num w:numId="8" w16cid:durableId="981233069">
    <w:abstractNumId w:val="1"/>
  </w:num>
  <w:num w:numId="9" w16cid:durableId="492113444">
    <w:abstractNumId w:val="0"/>
  </w:num>
  <w:num w:numId="10" w16cid:durableId="16236553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0D6"/>
    <w:rsid w:val="0029639D"/>
    <w:rsid w:val="00326F90"/>
    <w:rsid w:val="00360011"/>
    <w:rsid w:val="005F166D"/>
    <w:rsid w:val="00645ED6"/>
    <w:rsid w:val="00714699"/>
    <w:rsid w:val="00770FBA"/>
    <w:rsid w:val="00AA1D8D"/>
    <w:rsid w:val="00B47730"/>
    <w:rsid w:val="00BE1254"/>
    <w:rsid w:val="00CB0664"/>
    <w:rsid w:val="00D444FD"/>
    <w:rsid w:val="00EA1D8B"/>
    <w:rsid w:val="00F409EA"/>
    <w:rsid w:val="00F7613E"/>
    <w:rsid w:val="00FA2A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F8E646"/>
  <w14:defaultImageDpi w14:val="300"/>
  <w15:docId w15:val="{9438DCF0-FC52-468F-AE1D-AA59E6A2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40" w:lineRule="auto"/>
      <w:ind w:firstLine="397"/>
      <w:jc w:val="both"/>
    </w:pPr>
    <w:rPr>
      <w:rFonts w:ascii="Garamond" w:hAnsi="Garamond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  <w:ind w:firstLine="39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Luigi Cutrì - SSM</cp:lastModifiedBy>
  <cp:revision>3</cp:revision>
  <dcterms:created xsi:type="dcterms:W3CDTF">2026-09-23T04:39:00Z</dcterms:created>
  <dcterms:modified xsi:type="dcterms:W3CDTF">2026-09-23T07:01:00Z</dcterms:modified>
  <cp:category/>
</cp:coreProperties>
</file>