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before="960" w:line="276" w:lineRule="auto"/>
        <w:ind w:firstLine="0"/>
        <w:jc w:val="center"/>
      </w:pPr>
      <w:r>
        <w:rPr>
          <w:smallCaps/>
          <w:sz w:val="24"/>
          <w:szCs w:val="24"/>
        </w:rPr>
        <w:t xml:space="preserve">Alessandra Leone</w:t>
      </w:r>
    </w:p>
    <w:p>
      <w:pPr>
        <w:spacing w:after="280" w:line="276" w:lineRule="auto"/>
        <w:ind w:firstLine="0"/>
        <w:jc w:val="center"/>
      </w:pPr>
      <w:r>
        <w:t xml:space="preserve">SMART WORKING, INTELLIGENZA ARTIFICIALE E DIRITTI DEL LAVORATORE: IL RUOLO DEL GIUDICE DEL LAVORO NELLA PUBBLICA AMMINISTRAZIONE DIGITALIZZATA*</w:t>
      </w:r>
    </w:p>
    <w:p>
      <w:pPr>
        <w:spacing w:after="280" w:line="276" w:lineRule="auto"/>
        <w:ind w:left="454" w:right="454" w:firstLine="0"/>
      </w:pPr>
      <w:r>
        <w:rPr>
          <w:smallCaps/>
          <w:sz w:val="18"/>
          <w:szCs w:val="18"/>
        </w:rPr>
        <w:t xml:space="preserve">Sommario: </w:t>
      </w:r>
      <w:r>
        <w:rPr>
          <w:sz w:val="18"/>
          <w:szCs w:val="18"/>
        </w:rPr>
        <w:t xml:space="preserve">1. Il punto di partenza: dal lavoro agile alla digitalizzazione strutturale. – 2. Primo punto: l’art. 4 dello Statuto dei lavoratori tra strumento di lavoro e strumento di controllo. – 3. Secondo punto: trasparenza algoritmica e il d.lgs. n. 104 del 2022. – 4. Terzo punto: la riserva di umanità nell’AI Act e il rischio di discriminazione algoritmica. – 5. Ultimo spunto: l’obbligo di reskilling e la responsabilità del giudice.</w:t>
      </w:r>
    </w:p>
    <w:p>
      <w:pPr>
        <w:spacing w:after="120" w:before="280" w:line="276" w:lineRule="auto"/>
        <w:ind w:firstLine="0"/>
      </w:pPr>
      <w:r>
        <w:rPr>
          <w:b/>
          <w:bCs/>
        </w:rPr>
        <w:t xml:space="preserve">1. Il punto di partenza: dal lavoro agile alla digitalizzazione strutturale</w:t>
      </w:r>
    </w:p>
    <w:p>
      <w:pPr>
        <w:spacing w:after="200" w:line="276" w:lineRule="auto"/>
        <w:ind w:firstLine="0"/>
      </w:pPr>
      <w:r>
        <w:t xml:space="preserve">Il punto di partenza della riflessione che si vuole proporre riguarda l’evoluzione del lavoro pubblico: dello smart working, del lavoro agile, istituto nato con la legge n. 81 del 2017, che poi è diventato strutturale durante il periodo Covid dell’emergenza pandemica. Adesso, terminata l’emergenza, avendo apprezzato le potenzialità di tale strumento ben oltre la fase emergenziale, siamo entrati in una stagione di vera e propria digitalizzazione dell’amministrazione. Con l’implementazione del PNRR, la digitalizzazione del lavoro, il ricorso al software, all’intelligenza artificiale, agli algoritmi cambia ovviamente la natura del potere direttivo del datore di lavoro, e si pone una serie di problematiche.</w:t>
      </w:r>
    </w:p>
    <w:p>
      <w:pPr>
        <w:spacing w:after="120" w:before="280" w:line="276" w:lineRule="auto"/>
        <w:ind w:firstLine="0"/>
      </w:pPr>
      <w:r>
        <w:rPr>
          <w:b/>
          <w:bCs/>
        </w:rPr>
        <w:t xml:space="preserve">2. Primo punto: l’art. 4 dello Statuto dei lavoratori tra strumento di lavoro e strumento di controllo</w:t>
      </w:r>
    </w:p>
    <w:p>
      <w:pPr>
        <w:spacing w:after="200" w:line="276" w:lineRule="auto"/>
        <w:ind w:firstLine="0"/>
      </w:pPr>
      <w:r>
        <w:t xml:space="preserve">Il primo punto riguarda il rapporto tra l’utilizzo per la prestazione lavorativa di determinati strumenti telematici — in modo particolare di software — e l’articolo 4 dello Statuto dei lavoratori. Diventa ancora più flebile il confine tra strumento di lavoro e strumento di controllo. Conosciamo l’articolo 4 dello Statuto dei lavoratori, così come modificato di recente, per cui nel momento in cui uno strumento telematico, un PC, uno smartphone è uno strumento di lavoro, non è soggetto ad autorizzazione. Questo però non basta, nel senso che l’utilizzo tramite lavoro agile di un software che trasmette tantissimi metadati al datore di lavoro sulla modalità della prestazione — quindi sulla tempistica, sulle pause, sugli errori — è chiaro che diventa indirettamente uno strumento di controllo, e quindi il ruolo del giudice del lavoro diventa molto delicato. Perché chiaramente non basterà la qualificazione come strumento di lavoro dell’utilizzo di determinati software forniti dalla stessa pubblica amministrazione, ma bisognerà vedere l’utilizzo che la pubblica amministrazione farà di questi dati. Nel momento in cui abbiamo un lavoro agile in smart working, abbiamo degli obiettivi che il lavoratore deve raggiungere, e quindi saranno quelli a dover essere valutati, e non potrà mai essere utilizzato lo strumento telematico per avere dati sulle modalità in cui questi obiettivi sono stati raggiunti per valutare il lavoratore. Questo sarà sicuramente uno dei temi che il giudice del lavoro sarà chiamato ad affrontare, nel suo ruolo di garante della tutela del lavoratore a fronte della crescente digitalizzazione del rapporto.</w:t>
      </w:r>
    </w:p>
    <w:p>
      <w:pPr>
        <w:spacing w:after="120" w:before="280" w:line="276" w:lineRule="auto"/>
        <w:ind w:firstLine="0"/>
      </w:pPr>
      <w:r>
        <w:rPr>
          <w:b/>
          <w:bCs/>
        </w:rPr>
        <w:t xml:space="preserve">3. Secondo punto: trasparenza algoritmica e il d.lgs. n. 104 del 2022</w:t>
      </w:r>
    </w:p>
    <w:p>
      <w:pPr>
        <w:spacing w:after="200" w:line="276" w:lineRule="auto"/>
        <w:ind w:firstLine="0"/>
      </w:pPr>
      <w:r>
        <w:t xml:space="preserve">Importantissimo è anche un altro punto, quello della trasparenza. Il decreto legislativo n. 104 del 2022, il cosiddetto decreto trasparenza, già lo prevede: quando si utilizzano software e algoritmi per la gestione dei rapporti di lavoro, ciò va comunicato al lavoratore, che non deve trovarsi di fronte a una «black box», cioè non deve trovarsi di fronte a un algoritmo, a un software inintellegibile. E chiaramente si pone un problema di contrasto con la proprietà industriale, perché è chiaro che ci sono aziende informatiche che hanno dei loro software coperti da segreto industriale. Il compito del giudice del lavoro sarà sempre quello di garantire la trasparenza ai fini della tutela del diritto alla difesa del lavoratore, per cui il lavoratore dovrà trovarsi di fronte a strumenti che siano per lui intellegibili, anche per evitare le cosiddette eliminazioni algoritmiche. Nel momento in cui si utilizzerà un’intelligenza artificiale per comparare le prestazioni di più lavoratori, è ovvio che in base a quelli che sono gli input che si danno all’intelligenza artificiale, si avrà una risposta diversa che può portare con sé una discriminazione. Pensiamo per esempio a un lavoratore che deve assistere un disabile o un bambino piccolo, che necessariamente avrà problemi diversi da quelli di un lavoratore senza tali carichi, e magari farà più assenze. Quello che si dà alla macchina porterà poi a una decisione influenzata da questi fattori, che quindi potrebbe essere potenzialmente discriminatoria.</w:t>
      </w:r>
    </w:p>
    <w:p>
      <w:pPr>
        <w:spacing w:after="120" w:before="280" w:line="276" w:lineRule="auto"/>
        <w:ind w:firstLine="0"/>
      </w:pPr>
      <w:r>
        <w:rPr>
          <w:b/>
          <w:bCs/>
        </w:rPr>
        <w:t xml:space="preserve">4. Terzo punto: la riserva di umanità nell’AI Act e il rischio di discriminazione</w:t>
      </w:r>
    </w:p>
    <w:p>
      <w:pPr>
        <w:spacing w:after="200" w:line="276" w:lineRule="auto"/>
        <w:ind w:firstLine="0"/>
      </w:pPr>
      <w:r>
        <w:t xml:space="preserve">Fondamentale è il terzo punto: la cosiddetta riserva di umanità contenuta nell’AI Act del 2024, il regolamento europeo sull’intelligenza artificiale, che qualifica come ad alto rischio l’utilizzo di algoritmi e di intelligenza artificiale applicata al diritto del lavoro. Fondamentale sarà sempre l’human in the loop, cioè il controllo umano: mai una firma umana vuota, ma il dirigente che, prima di assumere qualunque decisione che influisca sulla vita lavorativa del lavoratore, la rivaluti. L’irrinunciabilità del controllo umano è quindi il principio cardine, e qualora manchi si avrà violazione degli obblighi di trasparenza, buona fede, correttezza, certezza e imparzialità dell’amministrazione.</w:t>
      </w:r>
    </w:p>
    <w:p>
      <w:pPr>
        <w:spacing w:after="120" w:before="280" w:line="276" w:lineRule="auto"/>
        <w:ind w:firstLine="0"/>
      </w:pPr>
      <w:r>
        <w:rPr>
          <w:b/>
          <w:bCs/>
        </w:rPr>
        <w:t xml:space="preserve">5. Ultimo spunto: l’obbligo di reskilling e la responsabilità del giudice</w:t>
      </w:r>
    </w:p>
    <w:p>
      <w:pPr>
        <w:spacing w:after="200" w:line="276" w:lineRule="auto"/>
        <w:ind w:firstLine="0"/>
      </w:pPr>
      <w:r>
        <w:t xml:space="preserve">L’ultimissimo spunto di riflessione riguarda i lavoratori che diventano desueti in quanto non sono in grado di aggiornarsi sulle nuove tecnologie, perché quando sono stati assunti nelle loro mansioni non erano richieste competenze informatiche. Anche in questo caso la valutazione del giudice sarà molto importante nel distinguere ciò che può essere una colpa del lavoratore nel non aggiornarsi e ciò che può essere invece un’oggettiva difficoltà. Nel momento in cui si proceda a un giudizio di inidoneità o a una valutazione sulla scarsa performance, sarà sempre il giudice del lavoro a dover verificare se sia stato rispettato l’obbligo di reskilling da parte della pubblica amministrazione, mediante corsi di formazione e tutoraggio: non vi sarà colpa del lavoratore qualora questi corsi non siano stati effettuati, o viceversa vi sarà responsabilità del lavoratore che rifiuti di aggiornarsi. In conclusione, non siamo luddisti e non vogliamo bloccare il progresso: abbiamo visto nell’emergenza pandemica quanto certi strumenti siano stati utili per andare avanti limitando i danni. Ma il giudice del lavoro dovrà sempre mantenere il suo ruolo di garante, affinché l’imparzialità e il buon andamento della pubblica amministrazione, tutelati dall’articolo 97 della Costituzione, non vadano mai a ledere i diritti fondamentali del lavoratore, soprattutto come persona.</w:t>
      </w:r>
    </w:p>
    <w:sectPr>
      <w:headerReference w:type="default" r:id="rId7"/>
      <w:footerReference w:type="default" r:id="rId8"/>
      <w:pgSz w:w="9638" w:h="13606" w:orient="portrait"/>
      <w:pgMar w:top="1417" w:right="1247" w:bottom="1417" w:left="1247" w:header="680" w:footer="68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ind w:firstLine="0"/>
      <w:jc w:val="center"/>
    </w:pPr>
    <w: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ind w:firstLine="0"/>
      <w:jc w:val="center"/>
    </w:pPr>
    <w:r>
      <w:rPr>
        <w:i/>
        <w:iCs/>
        <w:color w:val="808080"/>
        <w:sz w:val="16"/>
        <w:szCs w:val="16"/>
      </w:rPr>
      <w:t xml:space="preserve">Interventi Preregistrati – Convegno di Capri 2026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aramond" w:cs="Garamond" w:eastAsia="Garamond" w:hAnsi="Garamond"/>
        <w:sz w:val="22"/>
        <w:szCs w:val="22"/>
      </w:rPr>
    </w:rPrDefault>
    <w:pPrDefault>
      <w:pPr>
        <w:spacing w:after="200" w:line="276"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2026-09-22T09:12:26.493Z</dcterms:created>
  <dcterms:modified xsi:type="dcterms:W3CDTF">2026-09-22T09:12:26.501Z</dcterms:modified>
</cp:coreProperties>
</file>

<file path=docProps/custom.xml><?xml version="1.0" encoding="utf-8"?>
<Properties xmlns="http://schemas.openxmlformats.org/officeDocument/2006/custom-properties" xmlns:vt="http://schemas.openxmlformats.org/officeDocument/2006/docPropsVTypes"/>
</file>