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960" w:line="276" w:lineRule="auto"/>
        <w:ind w:firstLine="0"/>
        <w:jc w:val="center"/>
      </w:pPr>
      <w:r>
        <w:rPr>
          <w:smallCaps/>
          <w:sz w:val="24"/>
          <w:szCs w:val="24"/>
        </w:rPr>
        <w:t xml:space="preserve">Daniela Piana</w:t>
      </w:r>
    </w:p>
    <w:p>
      <w:pPr>
        <w:spacing w:after="280" w:before="0" w:line="276" w:lineRule="auto"/>
        <w:ind w:firstLine="0"/>
        <w:jc w:val="center"/>
      </w:pPr>
      <w:r>
        <w:rPr>
          <w:i/>
          <w:iCs/>
          <w:sz w:val="18"/>
          <w:szCs w:val="18"/>
        </w:rPr>
        <w:t xml:space="preserve">Professoressa di Scienza Politica, «Riti della Legalità nell’era digitale», Università di Bologna</w:t>
      </w:r>
    </w:p>
    <w:p>
      <w:pPr>
        <w:spacing w:after="280" w:line="276" w:lineRule="auto"/>
        <w:ind w:firstLine="0"/>
        <w:jc w:val="center"/>
      </w:pPr>
      <w:r>
        <w:t xml:space="preserve">LA COGNIZIONE DEL DUBBIO NELL’ERA DELL’IA – SECONDA PARTE: DAL DATO AL CONTROLLO COLLETTIVO E ALLA FORMAZIONE INTERDISCIPLINARE*</w:t>
      </w:r>
    </w:p>
    <w:p>
      <w:pPr>
        <w:spacing w:after="280" w:line="276" w:lineRule="auto"/>
        <w:ind w:left="454" w:right="454" w:firstLine="0"/>
      </w:pPr>
      <w:r>
        <w:rPr>
          <w:smallCaps/>
          <w:sz w:val="18"/>
          <w:szCs w:val="18"/>
        </w:rPr>
        <w:t xml:space="preserve">Sommario: </w:t>
      </w:r>
      <w:r>
        <w:rPr>
          <w:sz w:val="18"/>
          <w:szCs w:val="18"/>
        </w:rPr>
        <w:t xml:space="preserve">1. I tre concetti del primo contributo: postura critica, controllo collettivo, formazione. – 2. Le due novità normative: il Digital Omnibus e il d.lgs. n. 160 del 2026. Il punto di caduta comune: il dato. – 3. Dalla filiera sequenziale al controllo collettivo: il pivot organizzativo. – 4. La formazione come obbligo e come metodo: laboratori interdisciplinari.</w:t>
      </w:r>
    </w:p>
    <w:p>
      <w:pPr>
        <w:spacing w:after="120" w:before="280" w:line="276" w:lineRule="auto"/>
        <w:ind w:firstLine="0"/>
      </w:pPr>
      <w:r>
        <w:rPr>
          <w:b/>
          <w:bCs/>
        </w:rPr>
        <w:t xml:space="preserve">1. I tre concetti del primo contributo: postura critica, controllo collettivo, formazione</w:t>
      </w:r>
    </w:p>
    <w:p>
      <w:pPr>
        <w:spacing w:after="200" w:line="276" w:lineRule="auto"/>
        <w:ind w:firstLine="0"/>
      </w:pPr>
      <w:r>
        <w:t xml:space="preserve">In questo secondo contributo si richiamano e si cercano di rendere il più operativi e concreti possibile tre concetti introdotti nel primo video, che ruotano attorno al rapporto tra la persona e i dispositivi che integrano intelligenze di carattere algoritmico. Il primo concetto riguarda la postura critica, che si preferisce declinare in termini di dubbio: sollevare domande mirate, focalizzate e orientate a migliorare il portato conoscitivo dell’interazione con l’IA, per potere prendere decisioni migliori, elaborare giudizi e ragionamenti più solidi e rigorosi. Il secondo concetto riguarda il controllo della qualità di quanto accade in questa interazione, con particolare enfasi sull’importanza di svolgere tale controllo in un’ottica critica collettiva, e non individuale. Il terzo aspetto riguarda, come da attendersi, la questione della formazione e dello sviluppo delle competenze.</w:t>
      </w:r>
    </w:p>
    <w:p>
      <w:pPr>
        <w:spacing w:after="120" w:before="280" w:line="276" w:lineRule="auto"/>
        <w:ind w:firstLine="0"/>
      </w:pPr>
      <w:r>
        <w:rPr>
          <w:b/>
          <w:bCs/>
        </w:rPr>
        <w:t xml:space="preserve">2. Le due novità normative: il Digital Omnibus e il d.lgs. n. 160 del 2026. Il punto di caduta comune: il dato</w:t>
      </w:r>
    </w:p>
    <w:p>
      <w:pPr>
        <w:spacing w:after="200" w:line="276" w:lineRule="auto"/>
        <w:ind w:firstLine="0"/>
      </w:pPr>
      <w:r>
        <w:t xml:space="preserve">Il punto di partenza è costituito dalle due rilevanti novità normative che si profilano per le istituzioni della giustizia: il Digital Omnibus, che è intervenuto a modificare, semplificandolo e rendendolo più flessibile, l’AI Act (Regolamento UE n. 1689 del 2024); e, pochi giorni fa, il decreto legislativo n. 160 del 2026, che entrerà in vigore il 30 settembre 2026 e che interessa nello specifico il nostro Paese. Esiste un punto di caduta comune a questi due interventi normativi, che ha a che vedere con il dato. Al di là degli aspetti di tutela relativi alla privacy e al trattamento dei dati personali, e dei firewall già introdotti dal Regolamento europeo sull’intelligenza artificiale, il combinato disposto delle due normative apre un focus specifico: la gestione del dato in termini di qualità, di consapevolezza e in termini evolutivi. Ciò che si costruisce interagendo con l’intelligenza artificiale si costruisce sulla base di dati il cui utilizzo è soggetto non solo a criteri e divieti, ma anche — come sottolineato nel decreto n. 160 — a una serie di deroghe, subordinate all’autorizzazione delle autorità competenti, qualora l’utilizzo di tali dati si renda necessario per rispondere a sfide di sicurezza pubblica o di contrasto a determinate fattispecie di reati.</w:t>
      </w:r>
    </w:p>
    <w:p>
      <w:pPr>
        <w:spacing w:after="200" w:line="276" w:lineRule="auto"/>
        <w:ind w:firstLine="0"/>
      </w:pPr>
      <w:r>
        <w:t xml:space="preserve">Vi è poi un secondo momento, quello della produzione di dati nel fatto stesso di operare: interagendo con un’intelligenza artificiale generativa si producono dati che, al di là della loro granularità specifica, finiscono per confluire in atti, documenti e contenuti sintetici scaturiti dall’interazione, destinati a ricadere all’interno di un dataset. Questo ragionamento — per quanto non particolarmente originale — impone che tutto ciò sia rigorosamente sottoposto alla supervisione umana: un obbligo di legge, ma anche un’esigenza che discende dai parametri deontologici applicabili, soprattutto quando ci si muove in istituzioni ad alto rischio come quelle della giustizia.</w:t>
      </w:r>
    </w:p>
    <w:p>
      <w:pPr>
        <w:spacing w:after="120" w:before="280" w:line="276" w:lineRule="auto"/>
        <w:ind w:firstLine="0"/>
      </w:pPr>
      <w:r>
        <w:rPr>
          <w:b/>
          <w:bCs/>
        </w:rPr>
        <w:t xml:space="preserve">3. Dalla filiera sequenziale al controllo collettivo: il pivot organizzativo</w:t>
      </w:r>
    </w:p>
    <w:p>
      <w:pPr>
        <w:spacing w:after="200" w:line="276" w:lineRule="auto"/>
        <w:ind w:firstLine="0"/>
      </w:pPr>
      <w:r>
        <w:t xml:space="preserve">Ci si pone allora la questione del chi controlla cosa e, soprattutto, di come si controlla la qualità e la tenuta della governance lungo il ciclo di vita del dato, dei documenti e dei contenuti che nei documenti confluiscono attraverso l’utilizzo di tali dati, più l’interazione con la persona, con la sua professionalità, con la sua intelligenza. L’intera filiera è stata tradizionalmente pensata come una sequenza di snodi di garanzia: si prendono i dati, li si seleziona, si costruisce un subset, si allena l’intelligenza algoritmica, la si utilizza, la si valuta, e se occorre correggerla — come precisa il Digital Omnibus — ci si interroga se, a tal fine, i dati personali necessari possano essere impiegati: «solo e se» quei dati servano a migliorare l’intelligenza algoritmica. In questo «solo e se» risiede una serie di discrezionalità che giustamente sono rimesse alla persona chiamata a decidere, persona che si colloca all’interno di una macchina di governance deputata al controllo di qualità.</w:t>
      </w:r>
    </w:p>
    <w:p>
      <w:pPr>
        <w:spacing w:after="200" w:line="276" w:lineRule="auto"/>
        <w:ind w:firstLine="0"/>
      </w:pPr>
      <w:r>
        <w:t xml:space="preserve">Invece della sequenza, quanto più si avanza tanto più appare efficace, sicuro e valorizzante delle professionalità interne al settore giustizia un modello di tipo collettivo — coerente con l’articolazione ordinamentale emersa a valle delle riforme del 2021 e del 2022 e con il consolidamento dell’Ufficio per il processo e di questa modalità più ampia di lavorare all’interno di contesti collettivi. Questa dinamica collettiva dovrà diventare il vero pivot organizzativo quotidiano: un luogo anche di carattere dialettico in cui discutere il portato dell’interazione tra la professionalità giuridica, dottrinale e giurisprudenziale del singolo operatore e quanto proviene dall’intelligenza algoritmica. Si tratta di una prospettiva che trova ancoraggio ed eco empirica e metodologica nel dibattito internazionale sulla governance dell’intelligenza artificiale e, soprattutto, sulla tutela necessaria da entrambi i lati: non soltanto dal lato del cittadino e delle parti nel processo, ma anche dal lato degli operatori, che devono essere messi nelle condizioni di avvalersi di tali strumenti per conseguire non solo migliori performance, ma una migliore esperienza della propria professionalità e una migliore capacità di interpretare un ruolo che non si esaurisce nell’essere efficienti ed efficaci, bensì — nel nostro caso — nel rendere giustizia: una funzione di garanzia istituzionale di livello superiore.</w:t>
      </w:r>
    </w:p>
    <w:p>
      <w:pPr>
        <w:spacing w:after="120" w:before="280" w:line="276" w:lineRule="auto"/>
        <w:ind w:firstLine="0"/>
      </w:pPr>
      <w:r>
        <w:rPr>
          <w:b/>
          <w:bCs/>
        </w:rPr>
        <w:t xml:space="preserve">4. La formazione come obbligo e come metodo: laboratori interdisciplinari</w:t>
      </w:r>
    </w:p>
    <w:p>
      <w:pPr>
        <w:spacing w:after="200" w:line="276" w:lineRule="auto"/>
        <w:ind w:firstLine="0"/>
      </w:pPr>
      <w:r>
        <w:t xml:space="preserve">Il terzo punto attiene alla necessità della formazione. L’obbligo formativo è già previsto dal Regolamento europeo e dalla legge italiana del 2025, quindi la sua necessità appare abbastanza consensuale e conclamata. La questione che preme portare all’attenzione riguarda piuttosto il come fare questa formazione. Già nel primo contributo si era anticipata l’importanza di laboratori d’uso fondati sull’esperienza. Guardando all’attuazione del decreto legislativo n. 160 — e in particolare al Titolo secondo, dove si affronta la possibilità di adire un giudice per danno da intelligenza artificiale —, l’organo giudicante si trova nella posizione di dover ragionare su un materiale costruito con importanti aspetti tecnici, ivi compresa tutta la documentazione obbligatoria per legge relativa alla certificazione degli strumenti di intelligenza artificiale, che grava sulle aziende fornitrici, sviluppatrici ed eventualmente deployer. Se questa formazione deve essere fondata sull’uso, i laboratori dovranno allora comprendere professionalità diverse, per mettere le razionalità del mondo giustizia — le sue professionalità giuridiche — nella migliore condizione possibile per interfacciarsi consapevolmente con le grammatiche scientifiche e tecniche, diverse da quelle del diritto, sulla base delle quali dovranno poi validare un giudizio, una decisione. Lo stesso ragionamento, mutatis mutandis, vale per la formazione delle forze di polizia e delle autorità preposte ad autorizzare l’utilizzo di determinate categorie di dati — ad esempio i dati biometrici — per finalità classificate come perimetrate nell’allegato al Regolamento europeo n. 1689 del 2024 in materia di contrasto alla criminalità.</w:t>
      </w:r>
    </w:p>
    <w:p>
      <w:pPr>
        <w:spacing w:after="200" w:line="276" w:lineRule="auto"/>
        <w:ind w:firstLine="0"/>
      </w:pPr>
      <w:r>
        <w:t xml:space="preserve">Anche in questo caso la formazione dovrà diventare congiunta. L’idea è quella di laboratori ai quali partecipino tutti i profili funzionali che insistono su questo mondo aperto dalla normativa: un mondo in cui alcune cose sono definite in termini di divieti, ma molte altre sono definite come consentite, salvo che vengano attivate determinate garanzie. In questo snodo è indispensabile rendere gli operatori del mondo giustizia — in particolare per quanto riguarda il penale, con il necessario coinvolgimento della Procura Generale e, più in generale, di tutto il sistema giustizia — capaci di dialogare con le professionalità tecniche e scientifiche, così da sviluppare una consapevolezza reciproca verso un approccio conoscitivo che non lasci le competenze giuridiche da sole a confrontarsi, caso per caso, con le altre discipline, ma renda il dialogo tra discipline un modus operandi e un modus cogitandi delle autorità giudiziarie, per impostazione predefinita.</w:t>
      </w:r>
    </w:p>
    <w:sectPr>
      <w:headerReference w:type="default" r:id="rId7"/>
      <w:footerReference w:type="default" r:id="rId8"/>
      <w:pgSz w:w="9638" w:h="13606" w:orient="portrait"/>
      <w:pgMar w:top="1417" w:right="1247" w:bottom="1417" w:left="1247"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ind w:firstLine="0"/>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ind w:firstLine="0"/>
      <w:jc w:val="center"/>
    </w:pPr>
    <w:r>
      <w:rPr>
        <w:i/>
        <w:iCs/>
        <w:color w:val="808080"/>
        <w:sz w:val="16"/>
        <w:szCs w:val="16"/>
      </w:rPr>
      <w:t xml:space="preserve">Interventi Preregistrati – Convegno di Capri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2"/>
        <w:szCs w:val="22"/>
      </w:rPr>
    </w:rPrDefault>
    <w:pPrDefault>
      <w:pPr>
        <w:spacing w:after="20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2026-09-23T07:31:08.647Z</dcterms:created>
  <dcterms:modified xsi:type="dcterms:W3CDTF">2026-09-23T07:31:08.656Z</dcterms:modified>
</cp:coreProperties>
</file>

<file path=docProps/custom.xml><?xml version="1.0" encoding="utf-8"?>
<Properties xmlns="http://schemas.openxmlformats.org/officeDocument/2006/custom-properties" xmlns:vt="http://schemas.openxmlformats.org/officeDocument/2006/docPropsVTypes"/>
</file>